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Anthropological Factors that Affect Our Environment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Cut the following factors out (one set per group)</w:t>
      </w:r>
    </w:p>
    <w:tbl>
      <w:tblPr>
        <w:tblStyle w:val="Table1"/>
        <w:tblW w:w="1566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80"/>
        <w:gridCol w:w="1460"/>
        <w:gridCol w:w="3220"/>
        <w:tblGridChange w:id="0">
          <w:tblGrid>
            <w:gridCol w:w="10980"/>
            <w:gridCol w:w="1460"/>
            <w:gridCol w:w="32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5">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Air Pollution</w:t>
            </w:r>
          </w:p>
          <w:p w:rsidR="00000000" w:rsidDel="00000000" w:rsidP="00000000" w:rsidRDefault="00000000" w:rsidRPr="00000000" w14:paraId="00000006">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Air pollution is the contamination of air due to the presence of substances called pollutants in the atmosphere that are harmful to the health of humans and other living beings, or cause damage to the climate or to materials. (</w:t>
            </w:r>
            <w:hyperlink r:id="rId6">
              <w:r w:rsidDel="00000000" w:rsidR="00000000" w:rsidRPr="00000000">
                <w:rPr>
                  <w:rFonts w:ascii="Atkinson Hyperlegible" w:cs="Atkinson Hyperlegible" w:eastAsia="Atkinson Hyperlegible" w:hAnsi="Atkinson Hyperlegible"/>
                  <w:color w:val="1155cc"/>
                  <w:highlight w:val="white"/>
                  <w:u w:val="single"/>
                  <w:rtl w:val="0"/>
                </w:rPr>
                <w:t xml:space="preserve">https://www.who.int/health-topics/air-pollution#tab=tab_1</w:t>
              </w:r>
            </w:hyperlink>
            <w:r w:rsidDel="00000000" w:rsidR="00000000" w:rsidRPr="00000000">
              <w:rPr>
                <w:rFonts w:ascii="Atkinson Hyperlegible" w:cs="Atkinson Hyperlegible" w:eastAsia="Atkinson Hyperlegible" w:hAnsi="Atkinson Hyperlegible"/>
                <w:highlight w:val="white"/>
                <w:rtl w:val="0"/>
              </w:rPr>
              <w:t xml:space="preserve">) </w:t>
            </w:r>
          </w:p>
          <w:p w:rsidR="00000000" w:rsidDel="00000000" w:rsidP="00000000" w:rsidRDefault="00000000" w:rsidRPr="00000000" w14:paraId="00000007">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9">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Dams</w:t>
              <w:br w:type="textWrapping"/>
            </w:r>
            <w:r w:rsidDel="00000000" w:rsidR="00000000" w:rsidRPr="00000000">
              <w:rPr>
                <w:rFonts w:ascii="Atkinson Hyperlegible" w:cs="Atkinson Hyperlegible" w:eastAsia="Atkinson Hyperlegible" w:hAnsi="Atkinson Hyperlegible"/>
                <w:highlight w:val="white"/>
                <w:rtl w:val="0"/>
              </w:rPr>
              <w:t xml:space="preserve">Dams are man-made structures that are used to disrupt water flow. They can be used for generating electricity (hydroelectric dams) or regulating irrigation and water conservation. Dams are often constructed across rivers to store water that would naturally flow downstream. (</w:t>
            </w:r>
            <w:hyperlink r:id="rId7">
              <w:r w:rsidDel="00000000" w:rsidR="00000000" w:rsidRPr="00000000">
                <w:rPr>
                  <w:rFonts w:ascii="Atkinson Hyperlegible" w:cs="Atkinson Hyperlegible" w:eastAsia="Atkinson Hyperlegible" w:hAnsi="Atkinson Hyperlegible"/>
                  <w:color w:val="1155cc"/>
                  <w:highlight w:val="white"/>
                  <w:u w:val="single"/>
                  <w:rtl w:val="0"/>
                </w:rPr>
                <w:t xml:space="preserve">www.britishdams.org</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0A">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C">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Deforestation/Clear Cutting</w:t>
              <w:br w:type="textWrapping"/>
            </w:r>
            <w:r w:rsidDel="00000000" w:rsidR="00000000" w:rsidRPr="00000000">
              <w:rPr>
                <w:rFonts w:ascii="Atkinson Hyperlegible" w:cs="Atkinson Hyperlegible" w:eastAsia="Atkinson Hyperlegible" w:hAnsi="Atkinson Hyperlegible"/>
                <w:highlight w:val="white"/>
                <w:rtl w:val="0"/>
              </w:rPr>
              <w:t xml:space="preserve">Deforestation is the large-scale removal of trees from forested areas. This is mainly done for agriculture or to utilize the wood products. (</w:t>
            </w:r>
            <w:hyperlink r:id="rId8">
              <w:r w:rsidDel="00000000" w:rsidR="00000000" w:rsidRPr="00000000">
                <w:rPr>
                  <w:rFonts w:ascii="Atkinson Hyperlegible" w:cs="Atkinson Hyperlegible" w:eastAsia="Atkinson Hyperlegible" w:hAnsi="Atkinson Hyperlegible"/>
                  <w:color w:val="1155cc"/>
                  <w:highlight w:val="white"/>
                  <w:u w:val="single"/>
                  <w:rtl w:val="0"/>
                </w:rPr>
                <w:t xml:space="preserve">https://www.nationalgeographic.com/environment/article/deforestation</w:t>
              </w:r>
            </w:hyperlink>
            <w:r w:rsidDel="00000000" w:rsidR="00000000" w:rsidRPr="00000000">
              <w:rPr>
                <w:rFonts w:ascii="Atkinson Hyperlegible" w:cs="Atkinson Hyperlegible" w:eastAsia="Atkinson Hyperlegible" w:hAnsi="Atkinson Hyperlegible"/>
                <w:highlight w:val="white"/>
                <w:rtl w:val="0"/>
              </w:rPr>
              <w:t xml:space="preserve">) </w:t>
            </w:r>
          </w:p>
          <w:p w:rsidR="00000000" w:rsidDel="00000000" w:rsidP="00000000" w:rsidRDefault="00000000" w:rsidRPr="00000000" w14:paraId="0000000D">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0F">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Engineered Obsolescence of Products</w:t>
            </w:r>
          </w:p>
          <w:p w:rsidR="00000000" w:rsidDel="00000000" w:rsidP="00000000" w:rsidRDefault="00000000" w:rsidRPr="00000000" w14:paraId="00000010">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Obsolescence engineering is a practice of designing products that are meant to stop working after a particular amount of time. This also means that they may become obsolete when a newer version becomes available, or when the product is no longer fashionable. (</w:t>
            </w:r>
            <w:hyperlink r:id="rId9">
              <w:r w:rsidDel="00000000" w:rsidR="00000000" w:rsidRPr="00000000">
                <w:rPr>
                  <w:rFonts w:ascii="Atkinson Hyperlegible" w:cs="Atkinson Hyperlegible" w:eastAsia="Atkinson Hyperlegible" w:hAnsi="Atkinson Hyperlegible"/>
                  <w:color w:val="1155cc"/>
                  <w:highlight w:val="white"/>
                  <w:u w:val="single"/>
                  <w:rtl w:val="0"/>
                </w:rPr>
                <w:t xml:space="preserve">https://www.iberdrola.com/sustainability/planned-obsolescence</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1">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sz w:val="10"/>
                <w:szCs w:val="10"/>
                <w:highlight w:val="white"/>
                <w:rtl w:val="0"/>
              </w:rPr>
              <w:br w:type="textWrapping"/>
            </w:r>
            <w:r w:rsidDel="00000000" w:rsidR="00000000" w:rsidRPr="00000000">
              <w:rPr>
                <w:rFonts w:ascii="Atkinson Hyperlegible" w:cs="Atkinson Hyperlegible" w:eastAsia="Atkinson Hyperlegible" w:hAnsi="Atkinson Hyperlegible"/>
                <w:sz w:val="28"/>
                <w:szCs w:val="28"/>
                <w:highlight w:val="white"/>
                <w:rtl w:val="0"/>
              </w:rPr>
              <w:t xml:space="preserve">Forest Fires/Wildfires</w:t>
              <w:br w:type="textWrapping"/>
            </w:r>
            <w:r w:rsidDel="00000000" w:rsidR="00000000" w:rsidRPr="00000000">
              <w:rPr>
                <w:rFonts w:ascii="Atkinson Hyperlegible" w:cs="Atkinson Hyperlegible" w:eastAsia="Atkinson Hyperlegible" w:hAnsi="Atkinson Hyperlegible"/>
                <w:highlight w:val="white"/>
                <w:rtl w:val="0"/>
              </w:rPr>
              <w:t xml:space="preserve">A wildfire is an uncontrolled fire that burns in the wildland vegetation, often in rural areas. Wildfires can burn in forests, grasslands, savannas, and other ecosystems, and have been doing so for hundreds of millions of years. They are not limited to a particular continent or environment. (</w:t>
            </w:r>
            <w:hyperlink r:id="rId10">
              <w:r w:rsidDel="00000000" w:rsidR="00000000" w:rsidRPr="00000000">
                <w:rPr>
                  <w:rFonts w:ascii="Atkinson Hyperlegible" w:cs="Atkinson Hyperlegible" w:eastAsia="Atkinson Hyperlegible" w:hAnsi="Atkinson Hyperlegible"/>
                  <w:color w:val="1155cc"/>
                  <w:highlight w:val="white"/>
                  <w:u w:val="single"/>
                  <w:rtl w:val="0"/>
                </w:rPr>
                <w:t xml:space="preserve">https://education.nationalgeographic.org/resource/wildfires/</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3">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15">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Road Salt</w:t>
            </w:r>
          </w:p>
          <w:p w:rsidR="00000000" w:rsidDel="00000000" w:rsidP="00000000" w:rsidRDefault="00000000" w:rsidRPr="00000000" w14:paraId="00000016">
            <w:pPr>
              <w:widowControl w:val="0"/>
              <w:spacing w:line="240" w:lineRule="auto"/>
              <w:rPr>
                <w:rFonts w:ascii="Atkinson Hyperlegible" w:cs="Atkinson Hyperlegible" w:eastAsia="Atkinson Hyperlegible" w:hAnsi="Atkinson Hyperlegible"/>
                <w:highlight w:val="white"/>
              </w:rPr>
            </w:pPr>
            <w:r w:rsidDel="00000000" w:rsidR="00000000" w:rsidRPr="00000000">
              <w:rPr>
                <w:rFonts w:ascii="Atkinson Hyperlegible" w:cs="Atkinson Hyperlegible" w:eastAsia="Atkinson Hyperlegible" w:hAnsi="Atkinson Hyperlegible"/>
                <w:highlight w:val="white"/>
                <w:rtl w:val="0"/>
              </w:rPr>
              <w:t xml:space="preserve">During the winter, road salt is applied to the roadway to melt snow and ice. For regions that experience frequent snowstorms, salting can help keep streets and sidewalks clear and prevent slick driving conditions. (</w:t>
            </w:r>
            <w:hyperlink r:id="rId11">
              <w:r w:rsidDel="00000000" w:rsidR="00000000" w:rsidRPr="00000000">
                <w:rPr>
                  <w:rFonts w:ascii="Atkinson Hyperlegible" w:cs="Atkinson Hyperlegible" w:eastAsia="Atkinson Hyperlegible" w:hAnsi="Atkinson Hyperlegible"/>
                  <w:color w:val="1155cc"/>
                  <w:highlight w:val="white"/>
                  <w:u w:val="single"/>
                  <w:rtl w:val="0"/>
                </w:rPr>
                <w:t xml:space="preserve">https://www.epa.gov/snep/winter-coming-and-it-tons-salt-our-roads</w:t>
              </w:r>
            </w:hyperlink>
            <w:r w:rsidDel="00000000" w:rsidR="00000000" w:rsidRPr="00000000">
              <w:rPr>
                <w:rFonts w:ascii="Atkinson Hyperlegible" w:cs="Atkinson Hyperlegible" w:eastAsia="Atkinson Hyperlegible" w:hAnsi="Atkinson Hyperlegible"/>
                <w:highlight w:val="white"/>
                <w:rtl w:val="0"/>
              </w:rPr>
              <w:t xml:space="preserve">)</w:t>
            </w:r>
          </w:p>
          <w:p w:rsidR="00000000" w:rsidDel="00000000" w:rsidP="00000000" w:rsidRDefault="00000000" w:rsidRPr="00000000" w14:paraId="00000017">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tl w:val="0"/>
              </w:rPr>
            </w:r>
          </w:p>
          <w:p w:rsidR="00000000" w:rsidDel="00000000" w:rsidP="00000000" w:rsidRDefault="00000000" w:rsidRPr="00000000" w14:paraId="00000019">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28"/>
                <w:szCs w:val="28"/>
                <w:highlight w:val="white"/>
                <w:rtl w:val="0"/>
              </w:rPr>
              <w:t xml:space="preserve">Food/Product Delivery (e.g. online shopping, Door Dash, Uber Eats)</w:t>
            </w:r>
          </w:p>
          <w:p w:rsidR="00000000" w:rsidDel="00000000" w:rsidP="00000000" w:rsidRDefault="00000000" w:rsidRPr="00000000" w14:paraId="0000001A">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Fonts w:ascii="Atkinson Hyperlegible" w:cs="Atkinson Hyperlegible" w:eastAsia="Atkinson Hyperlegible" w:hAnsi="Atkinson Hyperlegible"/>
                <w:highlight w:val="white"/>
                <w:rtl w:val="0"/>
              </w:rPr>
              <w:t xml:space="preserve">Food/product delivery is a courier service in which a restaurant, store, or independent food-delivery company delivers consumer goods to a customer. (</w:t>
            </w:r>
            <w:hyperlink r:id="rId12">
              <w:r w:rsidDel="00000000" w:rsidR="00000000" w:rsidRPr="00000000">
                <w:rPr>
                  <w:rFonts w:ascii="Atkinson Hyperlegible" w:cs="Atkinson Hyperlegible" w:eastAsia="Atkinson Hyperlegible" w:hAnsi="Atkinson Hyperlegible"/>
                  <w:color w:val="1155cc"/>
                  <w:highlight w:val="white"/>
                  <w:u w:val="single"/>
                  <w:rtl w:val="0"/>
                </w:rPr>
                <w:t xml:space="preserve">https://www.sganalytics.com/blog/reducing-food-waste-and-carbon-footprint-for-food-delivery-services/</w:t>
              </w:r>
            </w:hyperlink>
            <w:r w:rsidDel="00000000" w:rsidR="00000000" w:rsidRPr="00000000">
              <w:rPr>
                <w:rFonts w:ascii="Atkinson Hyperlegible" w:cs="Atkinson Hyperlegible" w:eastAsia="Atkinson Hyperlegible" w:hAnsi="Atkinson Hyperlegible"/>
                <w:highlight w:val="white"/>
                <w:rtl w:val="0"/>
              </w:rPr>
              <w:t xml:space="preserve"> )</w:t>
              <w:br w:type="textWrapp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Atkinson Hyperlegible" w:cs="Atkinson Hyperlegible" w:eastAsia="Atkinson Hyperlegible" w:hAnsi="Atkinson Hyperlegible"/>
                <w:sz w:val="28"/>
                <w:szCs w:val="28"/>
                <w:highlight w:val="white"/>
              </w:rPr>
            </w:pPr>
            <w:r w:rsidDel="00000000" w:rsidR="00000000" w:rsidRPr="00000000">
              <w:rPr>
                <w:rFonts w:ascii="Atkinson Hyperlegible" w:cs="Atkinson Hyperlegible" w:eastAsia="Atkinson Hyperlegible" w:hAnsi="Atkinson Hyperlegible"/>
                <w:sz w:val="10"/>
                <w:szCs w:val="10"/>
                <w:highlight w:val="white"/>
                <w:rtl w:val="0"/>
              </w:rPr>
              <w:br w:type="textWrapping"/>
            </w:r>
            <w:r w:rsidDel="00000000" w:rsidR="00000000" w:rsidRPr="00000000">
              <w:rPr>
                <w:rFonts w:ascii="Atkinson Hyperlegible" w:cs="Atkinson Hyperlegible" w:eastAsia="Atkinson Hyperlegible" w:hAnsi="Atkinson Hyperlegible"/>
                <w:sz w:val="28"/>
                <w:szCs w:val="28"/>
                <w:highlight w:val="white"/>
                <w:rtl w:val="0"/>
              </w:rPr>
              <w:t xml:space="preserve">Food Wastage</w:t>
            </w:r>
          </w:p>
          <w:p w:rsidR="00000000" w:rsidDel="00000000" w:rsidP="00000000" w:rsidRDefault="00000000" w:rsidRPr="00000000" w14:paraId="0000001C">
            <w:pPr>
              <w:widowControl w:val="0"/>
              <w:spacing w:line="240" w:lineRule="auto"/>
              <w:rPr>
                <w:rFonts w:ascii="Atkinson Hyperlegible" w:cs="Atkinson Hyperlegible" w:eastAsia="Atkinson Hyperlegible" w:hAnsi="Atkinson Hyperlegible"/>
                <w:sz w:val="10"/>
                <w:szCs w:val="10"/>
                <w:highlight w:val="white"/>
              </w:rPr>
            </w:pPr>
            <w:r w:rsidDel="00000000" w:rsidR="00000000" w:rsidRPr="00000000">
              <w:rPr>
                <w:rFonts w:ascii="Atkinson Hyperlegible" w:cs="Atkinson Hyperlegible" w:eastAsia="Atkinson Hyperlegible" w:hAnsi="Atkinson Hyperlegible"/>
                <w:highlight w:val="white"/>
                <w:rtl w:val="0"/>
              </w:rPr>
              <w:t xml:space="preserve">Food waste occurs along the entire spectrum of production, from the farm to distribution to retailers to the consumer. Reasons include losses from mold, pests, or inadequate climate control; losses from cooking; and intentional food waste.  (</w:t>
            </w:r>
            <w:hyperlink r:id="rId13">
              <w:r w:rsidDel="00000000" w:rsidR="00000000" w:rsidRPr="00000000">
                <w:rPr>
                  <w:rFonts w:ascii="Atkinson Hyperlegible" w:cs="Atkinson Hyperlegible" w:eastAsia="Atkinson Hyperlegible" w:hAnsi="Atkinson Hyperlegible"/>
                  <w:color w:val="1155cc"/>
                  <w:highlight w:val="white"/>
                  <w:u w:val="single"/>
                  <w:rtl w:val="0"/>
                </w:rPr>
                <w:t xml:space="preserve">https://www.hsph.harvard.edu/nutritionsource/sustainability/food-waste/</w:t>
              </w:r>
            </w:hyperlink>
            <w:r w:rsidDel="00000000" w:rsidR="00000000" w:rsidRPr="00000000">
              <w:rPr>
                <w:rFonts w:ascii="Atkinson Hyperlegible" w:cs="Atkinson Hyperlegible" w:eastAsia="Atkinson Hyperlegible" w:hAnsi="Atkinson Hyperlegible"/>
                <w:highlight w:val="white"/>
                <w:rtl w:val="0"/>
              </w:rPr>
              <w:t xml:space="preserve">)</w:t>
              <w:br w:type="textWrapping"/>
            </w:r>
            <w:r w:rsidDel="00000000" w:rsidR="00000000" w:rsidRPr="00000000">
              <w:rPr>
                <w:rtl w:val="0"/>
              </w:rPr>
            </w:r>
          </w:p>
        </w:tc>
      </w:tr>
    </w:tbl>
    <w:p w:rsidR="00000000" w:rsidDel="00000000" w:rsidP="00000000" w:rsidRDefault="00000000" w:rsidRPr="00000000" w14:paraId="0000001D">
      <w:pPr>
        <w:rPr/>
      </w:pPr>
      <w:r w:rsidDel="00000000" w:rsidR="00000000" w:rsidRPr="00000000">
        <w:rPr>
          <w:rtl w:val="0"/>
        </w:rPr>
      </w:r>
    </w:p>
    <w:sectPr>
      <w:pgSz w:h="16834" w:w="11909" w:orient="portrait"/>
      <w:pgMar w:bottom="108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tkinson Hyperlegibl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epa.gov/snep/winter-coming-and-it-tons-salt-our-roads" TargetMode="External"/><Relationship Id="rId10" Type="http://schemas.openxmlformats.org/officeDocument/2006/relationships/hyperlink" Target="https://education.nationalgeographic.org/resource/wildfires/" TargetMode="External"/><Relationship Id="rId13" Type="http://schemas.openxmlformats.org/officeDocument/2006/relationships/hyperlink" Target="https://www.hsph.harvard.edu/nutritionsource/sustainability/food-waste/" TargetMode="External"/><Relationship Id="rId12" Type="http://schemas.openxmlformats.org/officeDocument/2006/relationships/hyperlink" Target="https://www.sganalytics.com/blog/reducing-food-waste-and-carbon-footprint-for-food-delivery-servi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berdrola.com/sustainability/planned-obsolescence" TargetMode="External"/><Relationship Id="rId5" Type="http://schemas.openxmlformats.org/officeDocument/2006/relationships/styles" Target="styles.xml"/><Relationship Id="rId6" Type="http://schemas.openxmlformats.org/officeDocument/2006/relationships/hyperlink" Target="https://www.who.int/health-topics/air-pollution#tab=tab_1" TargetMode="External"/><Relationship Id="rId7" Type="http://schemas.openxmlformats.org/officeDocument/2006/relationships/hyperlink" Target="http://www.britishdams.org" TargetMode="External"/><Relationship Id="rId8" Type="http://schemas.openxmlformats.org/officeDocument/2006/relationships/hyperlink" Target="https://www.nationalgeographic.com/environment/article/deforest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tkinsonHyperlegible-regular.ttf"/><Relationship Id="rId2" Type="http://schemas.openxmlformats.org/officeDocument/2006/relationships/font" Target="fonts/AtkinsonHyperlegible-bold.ttf"/><Relationship Id="rId3" Type="http://schemas.openxmlformats.org/officeDocument/2006/relationships/font" Target="fonts/AtkinsonHyperlegible-italic.ttf"/><Relationship Id="rId4" Type="http://schemas.openxmlformats.org/officeDocument/2006/relationships/font" Target="fonts/AtkinsonHyperlegibl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