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b w:val="1"/>
        </w:rPr>
      </w:pPr>
      <w:r w:rsidDel="00000000" w:rsidR="00000000" w:rsidRPr="00000000">
        <w:rPr>
          <w:b w:val="1"/>
          <w:rtl w:val="0"/>
        </w:rPr>
        <w:t xml:space="preserve">Thinking Classroom Questions - Impactful Environmental Factors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Remember that you are considering you live in a land yet untouched by humans with plentiful resources, water, air, land, regular and predictable seasons where no one goes without: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Using the 4 environmental factors that you have been given, rank the factors in order from most impactful on the environment to least impactful - let your teacher know when you’ve ordered the first 4 to receive the next 2 to add to your list.  Finally, request your final 2 factors so that you have a list of 8 total factors in order from most to least impact.</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Describe why you chose the most impactful factor.  Why do you think it is the most damaging?</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Describe why you chose the least impactful factor.  Why do you think it is the least damaging?</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List what communities of people would be most impacted by your list of factors.  Do some factors affect certain communities more than others?  Why?</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Thinking back to the perfect and pristine land that was described when this activity was started, why do you think these anthropogenic factors would be allowed to exist?  Why are these factors allowed to be a part of our lives?</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