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0E3" w14:textId="33FB333A" w:rsidR="00B70CE8" w:rsidRPr="00B93A67" w:rsidRDefault="00B70CE8" w:rsidP="009273D7">
      <w:pPr>
        <w:spacing w:line="480" w:lineRule="auto"/>
        <w:jc w:val="center"/>
        <w:rPr>
          <w:rFonts w:ascii="Times New Roman" w:hAnsi="Times New Roman" w:cs="Times New Roman"/>
          <w:b/>
          <w:lang w:val="en-CA"/>
        </w:rPr>
      </w:pPr>
      <w:r w:rsidRPr="00B93A67">
        <w:rPr>
          <w:rFonts w:ascii="Times New Roman" w:hAnsi="Times New Roman" w:cs="Times New Roman"/>
          <w:b/>
          <w:lang w:val="en-CA"/>
        </w:rPr>
        <w:t>Unintended Consequences of High-Stakes Testing</w:t>
      </w:r>
      <w:r w:rsidR="006132C3">
        <w:rPr>
          <w:rFonts w:ascii="Times New Roman" w:hAnsi="Times New Roman" w:cs="Times New Roman"/>
          <w:b/>
          <w:lang w:val="en-CA"/>
        </w:rPr>
        <w:t xml:space="preserve"> on Science Education</w:t>
      </w:r>
    </w:p>
    <w:p w14:paraId="59D98681" w14:textId="34501FFA" w:rsidR="00B0451A" w:rsidRDefault="00B0451A" w:rsidP="00B70CE8">
      <w:pPr>
        <w:spacing w:line="480" w:lineRule="auto"/>
        <w:ind w:firstLine="720"/>
        <w:jc w:val="both"/>
        <w:rPr>
          <w:rFonts w:ascii="Times New Roman" w:hAnsi="Times New Roman" w:cs="Times New Roman"/>
        </w:rPr>
      </w:pPr>
      <w:r w:rsidRPr="00B0451A">
        <w:rPr>
          <w:rFonts w:ascii="Times New Roman" w:hAnsi="Times New Roman" w:cs="Times New Roman"/>
        </w:rPr>
        <w:t xml:space="preserve">In Ontario, the EQAO, an assessment of reading, writing and mathematics, is a well-known example of a high-stakes test. The intended purpose of the EQAO is to support student learning, improve student outcomes and ensure the quality and accountability of Ontario’s public education system (Education Quality and Accountability Office, 2021). Unfortunately, the emphasis that assessments like EQAO place on literacy and numeracy have the unintended consequence of negatively impacting student achievement in other subjects, like science, as Fazio and </w:t>
      </w:r>
      <w:proofErr w:type="spellStart"/>
      <w:r w:rsidRPr="00B0451A">
        <w:rPr>
          <w:rFonts w:ascii="Times New Roman" w:hAnsi="Times New Roman" w:cs="Times New Roman"/>
        </w:rPr>
        <w:t>Karrow</w:t>
      </w:r>
      <w:proofErr w:type="spellEnd"/>
      <w:r w:rsidRPr="00B0451A">
        <w:rPr>
          <w:rFonts w:ascii="Times New Roman" w:hAnsi="Times New Roman" w:cs="Times New Roman"/>
        </w:rPr>
        <w:t xml:space="preserve"> (2013) described. I’m arguing that in addition to the problem of student achievement in science, high-stakes tests have also had an unintended consequence on the time and resources allocated to science education both in elementary schools and in preservice teacher education.</w:t>
      </w:r>
    </w:p>
    <w:p w14:paraId="1EADCB06" w14:textId="02C187FE" w:rsidR="008D370D" w:rsidRDefault="008D370D" w:rsidP="00B70CE8">
      <w:pPr>
        <w:spacing w:line="480" w:lineRule="auto"/>
        <w:ind w:firstLine="720"/>
        <w:rPr>
          <w:rFonts w:ascii="Times New Roman" w:hAnsi="Times New Roman" w:cs="Times New Roman"/>
        </w:rPr>
      </w:pPr>
      <w:r w:rsidRPr="008D370D">
        <w:rPr>
          <w:rFonts w:ascii="Times New Roman" w:hAnsi="Times New Roman" w:cs="Times New Roman"/>
        </w:rPr>
        <w:t xml:space="preserve">Since high-stakes assessments act as an indicator of teacher and student success, schools have an incentive to allocate extra time and resources towards mathematics and language and away from low-stake subjects like science (Upadhyay, 2009; Winters et al., 2010). As a result, funding for lab equipment that would allow students to participate in hands-on science learning is low, leading some teachers to “dumpster diving,” purchasing resources with their own money, or simply doing without (Quinn, 2016).  </w:t>
      </w:r>
    </w:p>
    <w:p w14:paraId="4010E6D1" w14:textId="6E9B4A19" w:rsidR="008D370D" w:rsidRPr="008D370D" w:rsidRDefault="008D370D" w:rsidP="008D370D">
      <w:pPr>
        <w:spacing w:line="480" w:lineRule="auto"/>
        <w:ind w:firstLine="720"/>
        <w:rPr>
          <w:rFonts w:ascii="Times New Roman" w:eastAsia="Times New Roman" w:hAnsi="Times New Roman" w:cs="Times New Roman"/>
        </w:rPr>
      </w:pPr>
      <w:r w:rsidRPr="008D370D">
        <w:rPr>
          <w:rFonts w:ascii="Times New Roman" w:eastAsia="Times New Roman" w:hAnsi="Times New Roman" w:cs="Times New Roman"/>
        </w:rPr>
        <w:t>To continue, the Ontar</w:t>
      </w:r>
      <w:r w:rsidR="00593B53">
        <w:rPr>
          <w:rFonts w:ascii="Times New Roman" w:eastAsia="Times New Roman" w:hAnsi="Times New Roman" w:cs="Times New Roman"/>
        </w:rPr>
        <w:t>io Ministry of Education (</w:t>
      </w:r>
      <w:r w:rsidRPr="008D370D">
        <w:rPr>
          <w:rFonts w:ascii="Times New Roman" w:eastAsia="Times New Roman" w:hAnsi="Times New Roman" w:cs="Times New Roman"/>
        </w:rPr>
        <w:t>2009) explicitly promotes prioritizing uninterrupted literacy and numeracy blocks when creating a timetable. In 2016, the MOE introduced </w:t>
      </w:r>
      <w:r w:rsidRPr="008D370D">
        <w:rPr>
          <w:rFonts w:ascii="Times New Roman" w:eastAsia="Times New Roman" w:hAnsi="Times New Roman" w:cs="Times New Roman"/>
          <w:i/>
          <w:iCs/>
          <w:color w:val="0E101A"/>
        </w:rPr>
        <w:t>Protected Time for Daily Mathematics Instruction</w:t>
      </w:r>
      <w:r w:rsidRPr="008D370D">
        <w:rPr>
          <w:rFonts w:ascii="Times New Roman" w:eastAsia="Times New Roman" w:hAnsi="Times New Roman" w:cs="Times New Roman"/>
        </w:rPr>
        <w:t xml:space="preserve">, </w:t>
      </w:r>
      <w:r w:rsidR="00593B53">
        <w:rPr>
          <w:rFonts w:ascii="Times New Roman" w:eastAsia="Times New Roman" w:hAnsi="Times New Roman" w:cs="Times New Roman"/>
        </w:rPr>
        <w:t xml:space="preserve">a policy </w:t>
      </w:r>
      <w:r w:rsidRPr="008D370D">
        <w:rPr>
          <w:rFonts w:ascii="Times New Roman" w:eastAsia="Times New Roman" w:hAnsi="Times New Roman" w:cs="Times New Roman"/>
        </w:rPr>
        <w:t xml:space="preserve">which states that schools must allow for 300 minutes of mathematics instruction per school week. No such policy currently exists for science education in schools. I saw the prioritization of high-stakes subjects reflected in the amount of time each subject was allocated in the class schedule during my teaching blocks (see Table 1). Respectively, language and math were allotted 5x and 2.5x more </w:t>
      </w:r>
      <w:r w:rsidRPr="008D370D">
        <w:rPr>
          <w:rFonts w:ascii="Times New Roman" w:eastAsia="Times New Roman" w:hAnsi="Times New Roman" w:cs="Times New Roman"/>
        </w:rPr>
        <w:lastRenderedPageBreak/>
        <w:t>space in the weekly schedule than science, echoing Winters et al.’s (2010) finding that time in schools is being redirected to high-stakes subjects.</w:t>
      </w:r>
    </w:p>
    <w:p w14:paraId="3FC42A05" w14:textId="3155A5F8" w:rsidR="004F5AC4" w:rsidRPr="00B93A67" w:rsidRDefault="001677FF" w:rsidP="001677FF">
      <w:pPr>
        <w:spacing w:line="480" w:lineRule="auto"/>
        <w:rPr>
          <w:rFonts w:ascii="Times New Roman" w:hAnsi="Times New Roman" w:cs="Times New Roman"/>
          <w:b/>
        </w:rPr>
      </w:pPr>
      <w:r w:rsidRPr="00B93A67">
        <w:rPr>
          <w:rFonts w:ascii="Times New Roman" w:hAnsi="Times New Roman" w:cs="Times New Roman"/>
          <w:b/>
        </w:rPr>
        <w:t>Table 1</w:t>
      </w:r>
    </w:p>
    <w:p w14:paraId="150C3B9D" w14:textId="13AC1B18" w:rsidR="00E33715" w:rsidRPr="00B93A67" w:rsidRDefault="00E33715" w:rsidP="009273D7">
      <w:pPr>
        <w:spacing w:line="480" w:lineRule="auto"/>
        <w:rPr>
          <w:rFonts w:ascii="Times New Roman" w:hAnsi="Times New Roman" w:cs="Times New Roman"/>
          <w:b/>
          <w:i/>
        </w:rPr>
      </w:pPr>
      <w:r w:rsidRPr="00B93A67">
        <w:rPr>
          <w:rFonts w:ascii="Times New Roman" w:hAnsi="Times New Roman" w:cs="Times New Roman"/>
          <w:i/>
        </w:rPr>
        <w:t>Time Allocated Per Subject, Per Week</w:t>
      </w:r>
    </w:p>
    <w:tbl>
      <w:tblPr>
        <w:tblStyle w:val="TableGrid"/>
        <w:tblW w:w="0" w:type="auto"/>
        <w:tblLook w:val="04A0" w:firstRow="1" w:lastRow="0" w:firstColumn="1" w:lastColumn="0" w:noHBand="0" w:noVBand="1"/>
      </w:tblPr>
      <w:tblGrid>
        <w:gridCol w:w="4651"/>
        <w:gridCol w:w="4649"/>
      </w:tblGrid>
      <w:tr w:rsidR="00B93A67" w:rsidRPr="00B93A67" w14:paraId="6FC65434" w14:textId="77777777" w:rsidTr="009273D7">
        <w:trPr>
          <w:trHeight w:val="401"/>
        </w:trPr>
        <w:tc>
          <w:tcPr>
            <w:tcW w:w="4651" w:type="dxa"/>
            <w:tcBorders>
              <w:top w:val="single" w:sz="24" w:space="0" w:color="000000" w:themeColor="text1"/>
              <w:left w:val="single" w:sz="24" w:space="0" w:color="FFFFFF" w:themeColor="background1"/>
              <w:bottom w:val="single" w:sz="24" w:space="0" w:color="000000" w:themeColor="text1"/>
              <w:right w:val="single" w:sz="24" w:space="0" w:color="FFFFFF" w:themeColor="background1"/>
            </w:tcBorders>
            <w:vAlign w:val="center"/>
          </w:tcPr>
          <w:p w14:paraId="48B97DBF" w14:textId="4C8DBCBB" w:rsidR="009273D7" w:rsidRPr="00B93A67" w:rsidRDefault="009273D7" w:rsidP="009273D7">
            <w:pPr>
              <w:jc w:val="center"/>
              <w:rPr>
                <w:rFonts w:ascii="Times New Roman" w:hAnsi="Times New Roman" w:cs="Times New Roman"/>
              </w:rPr>
            </w:pPr>
            <w:r w:rsidRPr="00B93A67">
              <w:rPr>
                <w:rFonts w:ascii="Times New Roman" w:hAnsi="Times New Roman" w:cs="Times New Roman"/>
              </w:rPr>
              <w:t>Subject</w:t>
            </w:r>
          </w:p>
        </w:tc>
        <w:tc>
          <w:tcPr>
            <w:tcW w:w="4649" w:type="dxa"/>
            <w:tcBorders>
              <w:top w:val="single" w:sz="24" w:space="0" w:color="000000" w:themeColor="text1"/>
              <w:left w:val="single" w:sz="24" w:space="0" w:color="FFFFFF" w:themeColor="background1"/>
              <w:bottom w:val="single" w:sz="24" w:space="0" w:color="000000" w:themeColor="text1"/>
              <w:right w:val="single" w:sz="24" w:space="0" w:color="FFFFFF" w:themeColor="background1"/>
            </w:tcBorders>
            <w:vAlign w:val="center"/>
          </w:tcPr>
          <w:p w14:paraId="0F19E72D" w14:textId="748E1F42" w:rsidR="009273D7" w:rsidRPr="00B93A67" w:rsidRDefault="009273D7" w:rsidP="009273D7">
            <w:pPr>
              <w:jc w:val="center"/>
              <w:rPr>
                <w:rFonts w:ascii="Times New Roman" w:hAnsi="Times New Roman" w:cs="Times New Roman"/>
              </w:rPr>
            </w:pPr>
            <w:r w:rsidRPr="00B93A67">
              <w:rPr>
                <w:rFonts w:ascii="Times New Roman" w:hAnsi="Times New Roman" w:cs="Times New Roman"/>
              </w:rPr>
              <w:t>Time Allocated Per Week</w:t>
            </w:r>
          </w:p>
        </w:tc>
      </w:tr>
      <w:tr w:rsidR="00B93A67" w:rsidRPr="00B93A67" w14:paraId="6835BC46" w14:textId="77777777" w:rsidTr="009273D7">
        <w:trPr>
          <w:trHeight w:val="386"/>
        </w:trPr>
        <w:tc>
          <w:tcPr>
            <w:tcW w:w="4651" w:type="dxa"/>
            <w:tcBorders>
              <w:top w:val="single" w:sz="24" w:space="0" w:color="000000" w:themeColor="text1"/>
              <w:left w:val="single" w:sz="24" w:space="0" w:color="FFFFFF" w:themeColor="background1"/>
              <w:bottom w:val="single" w:sz="24" w:space="0" w:color="FFFFFF" w:themeColor="background1"/>
              <w:right w:val="single" w:sz="24" w:space="0" w:color="FFFFFF" w:themeColor="background1"/>
            </w:tcBorders>
            <w:vAlign w:val="center"/>
          </w:tcPr>
          <w:p w14:paraId="26994B33" w14:textId="0B522935" w:rsidR="009273D7" w:rsidRPr="00B93A67" w:rsidRDefault="009273D7" w:rsidP="009273D7">
            <w:pPr>
              <w:jc w:val="center"/>
              <w:rPr>
                <w:rFonts w:ascii="Times New Roman" w:hAnsi="Times New Roman" w:cs="Times New Roman"/>
              </w:rPr>
            </w:pPr>
            <w:r w:rsidRPr="00B93A67">
              <w:rPr>
                <w:rFonts w:ascii="Times New Roman" w:hAnsi="Times New Roman" w:cs="Times New Roman"/>
              </w:rPr>
              <w:t>Language</w:t>
            </w:r>
          </w:p>
        </w:tc>
        <w:tc>
          <w:tcPr>
            <w:tcW w:w="4649" w:type="dxa"/>
            <w:tcBorders>
              <w:top w:val="single" w:sz="24" w:space="0" w:color="000000" w:themeColor="text1"/>
              <w:left w:val="single" w:sz="24" w:space="0" w:color="FFFFFF" w:themeColor="background1"/>
              <w:bottom w:val="single" w:sz="24" w:space="0" w:color="FFFFFF" w:themeColor="background1"/>
              <w:right w:val="single" w:sz="24" w:space="0" w:color="FFFFFF" w:themeColor="background1"/>
            </w:tcBorders>
            <w:vAlign w:val="center"/>
          </w:tcPr>
          <w:p w14:paraId="61E6A430" w14:textId="6A037E0A" w:rsidR="009273D7" w:rsidRPr="00B93A67" w:rsidRDefault="009273D7" w:rsidP="009273D7">
            <w:pPr>
              <w:jc w:val="center"/>
              <w:rPr>
                <w:rFonts w:ascii="Times New Roman" w:hAnsi="Times New Roman" w:cs="Times New Roman"/>
              </w:rPr>
            </w:pPr>
            <w:r w:rsidRPr="00B93A67">
              <w:rPr>
                <w:rFonts w:ascii="Times New Roman" w:hAnsi="Times New Roman" w:cs="Times New Roman"/>
              </w:rPr>
              <w:t>600 minutes</w:t>
            </w:r>
          </w:p>
        </w:tc>
      </w:tr>
      <w:tr w:rsidR="00B93A67" w:rsidRPr="00B93A67" w14:paraId="5B8B0E75"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084A66A" w14:textId="230730C8" w:rsidR="009273D7" w:rsidRPr="00B93A67" w:rsidRDefault="009273D7" w:rsidP="009273D7">
            <w:pPr>
              <w:jc w:val="center"/>
              <w:rPr>
                <w:rFonts w:ascii="Times New Roman" w:hAnsi="Times New Roman" w:cs="Times New Roman"/>
              </w:rPr>
            </w:pPr>
            <w:r w:rsidRPr="00B93A67">
              <w:rPr>
                <w:rFonts w:ascii="Times New Roman" w:hAnsi="Times New Roman" w:cs="Times New Roman"/>
              </w:rPr>
              <w:t>Mathematics</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BF11A4F" w14:textId="65E738C1" w:rsidR="009273D7" w:rsidRPr="00B93A67" w:rsidRDefault="009273D7" w:rsidP="009273D7">
            <w:pPr>
              <w:jc w:val="center"/>
              <w:rPr>
                <w:rFonts w:ascii="Times New Roman" w:hAnsi="Times New Roman" w:cs="Times New Roman"/>
              </w:rPr>
            </w:pPr>
            <w:r w:rsidRPr="00B93A67">
              <w:rPr>
                <w:rFonts w:ascii="Times New Roman" w:hAnsi="Times New Roman" w:cs="Times New Roman"/>
              </w:rPr>
              <w:t>300 minutes</w:t>
            </w:r>
          </w:p>
        </w:tc>
      </w:tr>
      <w:tr w:rsidR="00B93A67" w:rsidRPr="00B93A67" w14:paraId="4EBAC1F4"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0B67C78" w14:textId="7279249E" w:rsidR="009273D7" w:rsidRPr="00B93A67" w:rsidRDefault="009273D7" w:rsidP="009273D7">
            <w:pPr>
              <w:jc w:val="center"/>
              <w:rPr>
                <w:rFonts w:ascii="Times New Roman" w:hAnsi="Times New Roman" w:cs="Times New Roman"/>
              </w:rPr>
            </w:pPr>
            <w:r w:rsidRPr="00B93A67">
              <w:rPr>
                <w:rFonts w:ascii="Times New Roman" w:hAnsi="Times New Roman" w:cs="Times New Roman"/>
              </w:rPr>
              <w:t>Religion</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3D1B286" w14:textId="77983348" w:rsidR="009273D7" w:rsidRPr="00B93A67" w:rsidRDefault="009273D7" w:rsidP="009273D7">
            <w:pPr>
              <w:jc w:val="center"/>
              <w:rPr>
                <w:rFonts w:ascii="Times New Roman" w:hAnsi="Times New Roman" w:cs="Times New Roman"/>
              </w:rPr>
            </w:pPr>
            <w:r w:rsidRPr="00B93A67">
              <w:rPr>
                <w:rFonts w:ascii="Times New Roman" w:hAnsi="Times New Roman" w:cs="Times New Roman"/>
              </w:rPr>
              <w:t>160 minutes</w:t>
            </w:r>
          </w:p>
        </w:tc>
      </w:tr>
      <w:tr w:rsidR="00B93A67" w:rsidRPr="00B93A67" w14:paraId="0ECE117E"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DAF9C02" w14:textId="24F438A2" w:rsidR="009273D7" w:rsidRPr="00B93A67" w:rsidRDefault="009273D7" w:rsidP="009273D7">
            <w:pPr>
              <w:jc w:val="center"/>
              <w:rPr>
                <w:rFonts w:ascii="Times New Roman" w:hAnsi="Times New Roman" w:cs="Times New Roman"/>
              </w:rPr>
            </w:pPr>
            <w:r w:rsidRPr="00B93A67">
              <w:rPr>
                <w:rFonts w:ascii="Times New Roman" w:hAnsi="Times New Roman" w:cs="Times New Roman"/>
              </w:rPr>
              <w:t>Social Studies</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500E7ED" w14:textId="482D72D9" w:rsidR="009273D7" w:rsidRPr="00B93A67" w:rsidRDefault="009273D7" w:rsidP="009273D7">
            <w:pPr>
              <w:jc w:val="center"/>
              <w:rPr>
                <w:rFonts w:ascii="Times New Roman" w:hAnsi="Times New Roman" w:cs="Times New Roman"/>
              </w:rPr>
            </w:pPr>
            <w:r w:rsidRPr="00B93A67">
              <w:rPr>
                <w:rFonts w:ascii="Times New Roman" w:hAnsi="Times New Roman" w:cs="Times New Roman"/>
              </w:rPr>
              <w:t>120 minutes</w:t>
            </w:r>
          </w:p>
        </w:tc>
      </w:tr>
      <w:tr w:rsidR="00B93A67" w:rsidRPr="00B93A67" w14:paraId="1E68523E"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281D090" w14:textId="129BBA10" w:rsidR="009273D7" w:rsidRPr="00B93A67" w:rsidRDefault="009273D7" w:rsidP="009273D7">
            <w:pPr>
              <w:jc w:val="center"/>
              <w:rPr>
                <w:rFonts w:ascii="Times New Roman" w:hAnsi="Times New Roman" w:cs="Times New Roman"/>
              </w:rPr>
            </w:pPr>
            <w:r w:rsidRPr="00B93A67">
              <w:rPr>
                <w:rFonts w:ascii="Times New Roman" w:hAnsi="Times New Roman" w:cs="Times New Roman"/>
              </w:rPr>
              <w:t>Science</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92AEA39" w14:textId="7B3DB95F" w:rsidR="009273D7" w:rsidRPr="00B93A67" w:rsidRDefault="009273D7" w:rsidP="009273D7">
            <w:pPr>
              <w:jc w:val="center"/>
              <w:rPr>
                <w:rFonts w:ascii="Times New Roman" w:hAnsi="Times New Roman" w:cs="Times New Roman"/>
              </w:rPr>
            </w:pPr>
            <w:r w:rsidRPr="00B93A67">
              <w:rPr>
                <w:rFonts w:ascii="Times New Roman" w:hAnsi="Times New Roman" w:cs="Times New Roman"/>
              </w:rPr>
              <w:t>120 minutes</w:t>
            </w:r>
          </w:p>
        </w:tc>
      </w:tr>
      <w:tr w:rsidR="00B93A67" w:rsidRPr="00B93A67" w14:paraId="15EFB563"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327DD95" w14:textId="09FD6F3F" w:rsidR="009273D7" w:rsidRPr="00B93A67" w:rsidRDefault="009273D7" w:rsidP="009273D7">
            <w:pPr>
              <w:jc w:val="center"/>
              <w:rPr>
                <w:rFonts w:ascii="Times New Roman" w:hAnsi="Times New Roman" w:cs="Times New Roman"/>
              </w:rPr>
            </w:pPr>
            <w:r w:rsidRPr="00B93A67">
              <w:rPr>
                <w:rFonts w:ascii="Times New Roman" w:hAnsi="Times New Roman" w:cs="Times New Roman"/>
              </w:rPr>
              <w:t>Health &amp; Phys. Ed.</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B6C546D" w14:textId="5AA16F92" w:rsidR="009273D7" w:rsidRPr="00B93A67" w:rsidRDefault="009273D7" w:rsidP="009273D7">
            <w:pPr>
              <w:jc w:val="center"/>
              <w:rPr>
                <w:rFonts w:ascii="Times New Roman" w:hAnsi="Times New Roman" w:cs="Times New Roman"/>
              </w:rPr>
            </w:pPr>
            <w:r w:rsidRPr="00B93A67">
              <w:rPr>
                <w:rFonts w:ascii="Times New Roman" w:hAnsi="Times New Roman" w:cs="Times New Roman"/>
              </w:rPr>
              <w:t>80 minutes</w:t>
            </w:r>
          </w:p>
        </w:tc>
      </w:tr>
      <w:tr w:rsidR="00B93A67" w:rsidRPr="00B93A67" w14:paraId="031B6210" w14:textId="77777777" w:rsidTr="009273D7">
        <w:trPr>
          <w:trHeight w:val="386"/>
        </w:trPr>
        <w:tc>
          <w:tcPr>
            <w:tcW w:w="4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80E5E00" w14:textId="4720A891" w:rsidR="009273D7" w:rsidRPr="00B93A67" w:rsidRDefault="00FE771A" w:rsidP="009273D7">
            <w:pPr>
              <w:jc w:val="center"/>
              <w:rPr>
                <w:rFonts w:ascii="Times New Roman" w:hAnsi="Times New Roman" w:cs="Times New Roman"/>
              </w:rPr>
            </w:pPr>
            <w:r w:rsidRPr="00B93A67">
              <w:rPr>
                <w:rFonts w:ascii="Times New Roman" w:hAnsi="Times New Roman" w:cs="Times New Roman"/>
              </w:rPr>
              <w:t xml:space="preserve">Music or </w:t>
            </w:r>
            <w:r w:rsidR="009273D7" w:rsidRPr="00B93A67">
              <w:rPr>
                <w:rFonts w:ascii="Times New Roman" w:hAnsi="Times New Roman" w:cs="Times New Roman"/>
              </w:rPr>
              <w:t>Drama</w:t>
            </w:r>
          </w:p>
        </w:tc>
        <w:tc>
          <w:tcPr>
            <w:tcW w:w="46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38E0F8" w14:textId="4682E944" w:rsidR="009273D7" w:rsidRPr="00B93A67" w:rsidRDefault="009273D7" w:rsidP="009273D7">
            <w:pPr>
              <w:jc w:val="center"/>
              <w:rPr>
                <w:rFonts w:ascii="Times New Roman" w:hAnsi="Times New Roman" w:cs="Times New Roman"/>
              </w:rPr>
            </w:pPr>
            <w:r w:rsidRPr="00B93A67">
              <w:rPr>
                <w:rFonts w:ascii="Times New Roman" w:hAnsi="Times New Roman" w:cs="Times New Roman"/>
              </w:rPr>
              <w:t>40 minutes</w:t>
            </w:r>
          </w:p>
        </w:tc>
      </w:tr>
      <w:tr w:rsidR="00B93A67" w:rsidRPr="00B93A67" w14:paraId="38C74267" w14:textId="77777777" w:rsidTr="009273D7">
        <w:trPr>
          <w:trHeight w:val="386"/>
        </w:trPr>
        <w:tc>
          <w:tcPr>
            <w:tcW w:w="4651" w:type="dxa"/>
            <w:tcBorders>
              <w:top w:val="single" w:sz="24" w:space="0" w:color="FFFFFF" w:themeColor="background1"/>
              <w:left w:val="single" w:sz="24" w:space="0" w:color="FFFFFF" w:themeColor="background1"/>
              <w:bottom w:val="single" w:sz="24" w:space="0" w:color="000000" w:themeColor="text1"/>
              <w:right w:val="single" w:sz="24" w:space="0" w:color="FFFFFF" w:themeColor="background1"/>
            </w:tcBorders>
            <w:vAlign w:val="center"/>
          </w:tcPr>
          <w:p w14:paraId="1B70FDBA" w14:textId="4F4B35D8" w:rsidR="009273D7" w:rsidRPr="00B93A67" w:rsidRDefault="009273D7" w:rsidP="009273D7">
            <w:pPr>
              <w:jc w:val="center"/>
              <w:rPr>
                <w:rFonts w:ascii="Times New Roman" w:hAnsi="Times New Roman" w:cs="Times New Roman"/>
              </w:rPr>
            </w:pPr>
            <w:r w:rsidRPr="00B93A67">
              <w:rPr>
                <w:rFonts w:ascii="Times New Roman" w:hAnsi="Times New Roman" w:cs="Times New Roman"/>
              </w:rPr>
              <w:t>Visual Arts</w:t>
            </w:r>
          </w:p>
        </w:tc>
        <w:tc>
          <w:tcPr>
            <w:tcW w:w="4649" w:type="dxa"/>
            <w:tcBorders>
              <w:top w:val="single" w:sz="24" w:space="0" w:color="FFFFFF" w:themeColor="background1"/>
              <w:left w:val="single" w:sz="24" w:space="0" w:color="FFFFFF" w:themeColor="background1"/>
              <w:bottom w:val="single" w:sz="24" w:space="0" w:color="000000" w:themeColor="text1"/>
              <w:right w:val="single" w:sz="24" w:space="0" w:color="FFFFFF" w:themeColor="background1"/>
            </w:tcBorders>
            <w:vAlign w:val="center"/>
          </w:tcPr>
          <w:p w14:paraId="58C28077" w14:textId="135D83CD" w:rsidR="009273D7" w:rsidRPr="00B93A67" w:rsidRDefault="009273D7" w:rsidP="009273D7">
            <w:pPr>
              <w:jc w:val="center"/>
              <w:rPr>
                <w:rFonts w:ascii="Times New Roman" w:hAnsi="Times New Roman" w:cs="Times New Roman"/>
              </w:rPr>
            </w:pPr>
            <w:r w:rsidRPr="00B93A67">
              <w:rPr>
                <w:rFonts w:ascii="Times New Roman" w:hAnsi="Times New Roman" w:cs="Times New Roman"/>
              </w:rPr>
              <w:t>30 minutes</w:t>
            </w:r>
          </w:p>
        </w:tc>
      </w:tr>
    </w:tbl>
    <w:p w14:paraId="23992141" w14:textId="449D7C07" w:rsidR="008D370D" w:rsidRPr="008D370D" w:rsidRDefault="008D370D" w:rsidP="008D370D">
      <w:pPr>
        <w:spacing w:line="480" w:lineRule="auto"/>
        <w:rPr>
          <w:rFonts w:ascii="Times New Roman" w:eastAsia="Times New Roman" w:hAnsi="Times New Roman" w:cs="Times New Roman"/>
        </w:rPr>
      </w:pPr>
      <w:r w:rsidRPr="008D370D">
        <w:rPr>
          <w:rFonts w:ascii="Times New Roman" w:eastAsia="Times New Roman" w:hAnsi="Times New Roman" w:cs="Times New Roman"/>
          <w:i/>
          <w:iCs/>
          <w:color w:val="0E101A"/>
        </w:rPr>
        <w:t>Note.</w:t>
      </w:r>
      <w:r w:rsidRPr="008D370D">
        <w:rPr>
          <w:rFonts w:ascii="Times New Roman" w:eastAsia="Times New Roman" w:hAnsi="Times New Roman" w:cs="Times New Roman"/>
        </w:rPr>
        <w:t> Taken from the weekly schedule of a Grade 3 class at a publicly-funded school in Ontario.</w:t>
      </w:r>
    </w:p>
    <w:p w14:paraId="68ABE1F8" w14:textId="3BAC1539" w:rsidR="008D370D" w:rsidRDefault="008D370D" w:rsidP="00B70CE8">
      <w:pPr>
        <w:spacing w:line="480" w:lineRule="auto"/>
        <w:ind w:firstLine="720"/>
        <w:jc w:val="both"/>
        <w:rPr>
          <w:rFonts w:ascii="Times New Roman" w:hAnsi="Times New Roman" w:cs="Times New Roman"/>
        </w:rPr>
      </w:pPr>
      <w:r w:rsidRPr="008D370D">
        <w:rPr>
          <w:rFonts w:ascii="Times New Roman" w:hAnsi="Times New Roman" w:cs="Times New Roman"/>
        </w:rPr>
        <w:t xml:space="preserve">Many teacher education programs also reflect the lack of time directed to school science education. At Brock University, teacher candidates in the Primary/Junior stream take half as many science education courses as they do literacy and numeracy-related courses. Unfortunately, this leads to yet another unintended consequence for elementary students. Many teacher candidates will leave the program without the confidence and background knowledge necessary to teach science successfully. </w:t>
      </w:r>
      <w:proofErr w:type="spellStart"/>
      <w:r w:rsidRPr="008D370D">
        <w:rPr>
          <w:rFonts w:ascii="Times New Roman" w:hAnsi="Times New Roman" w:cs="Times New Roman"/>
        </w:rPr>
        <w:t>Grinell</w:t>
      </w:r>
      <w:proofErr w:type="spellEnd"/>
      <w:r w:rsidRPr="008D370D">
        <w:rPr>
          <w:rFonts w:ascii="Times New Roman" w:hAnsi="Times New Roman" w:cs="Times New Roman"/>
        </w:rPr>
        <w:t xml:space="preserve"> and Rabin (2017) explain that when beginning teachers have low self-efficacy in their ability to teach science, they’re more likely to spend less time teaching science or avoid it altogether if possible. If our teachers feel unprepared to teach science, the quality of their instruction and their students’ achievement will suffer. Providing teacher candidates with the opportunity to develop their knowledge and confidence in science education during their program would positively impact their students.</w:t>
      </w:r>
    </w:p>
    <w:p w14:paraId="19574793" w14:textId="46C4B108" w:rsidR="00245D55" w:rsidRPr="00B93A67" w:rsidRDefault="008D370D" w:rsidP="008D370D">
      <w:pPr>
        <w:spacing w:line="480" w:lineRule="auto"/>
        <w:ind w:firstLine="720"/>
        <w:jc w:val="both"/>
        <w:rPr>
          <w:rFonts w:ascii="Times New Roman" w:hAnsi="Times New Roman" w:cs="Times New Roman"/>
        </w:rPr>
      </w:pPr>
      <w:r w:rsidRPr="008D370D">
        <w:rPr>
          <w:rFonts w:ascii="Times New Roman" w:hAnsi="Times New Roman" w:cs="Times New Roman"/>
        </w:rPr>
        <w:lastRenderedPageBreak/>
        <w:t>In conclusion, high-stakes literacy and numeracy testing have had the unintended consequence of less time and resources directed to science education in elementary schools and teacher education programs. Ultimately, without adequate funding and time allocated for science in the classroom, the current issue of lowered student achievement will not improve.</w:t>
      </w:r>
    </w:p>
    <w:p w14:paraId="059F7914" w14:textId="77777777" w:rsidR="009273D7" w:rsidRPr="00B93A67" w:rsidRDefault="009273D7">
      <w:pPr>
        <w:rPr>
          <w:rFonts w:ascii="Times New Roman" w:hAnsi="Times New Roman" w:cs="Times New Roman"/>
          <w:b/>
        </w:rPr>
      </w:pPr>
      <w:r w:rsidRPr="00B93A67">
        <w:rPr>
          <w:rFonts w:ascii="Times New Roman" w:hAnsi="Times New Roman" w:cs="Times New Roman"/>
          <w:b/>
        </w:rPr>
        <w:br w:type="page"/>
      </w:r>
    </w:p>
    <w:p w14:paraId="4461929E" w14:textId="4C983113" w:rsidR="00344B34" w:rsidRPr="00B93A67" w:rsidRDefault="00344B34" w:rsidP="00344B34">
      <w:pPr>
        <w:ind w:left="720" w:hanging="720"/>
        <w:jc w:val="center"/>
        <w:rPr>
          <w:rFonts w:ascii="Times New Roman" w:hAnsi="Times New Roman" w:cs="Times New Roman"/>
          <w:b/>
        </w:rPr>
      </w:pPr>
      <w:r w:rsidRPr="00B93A67">
        <w:rPr>
          <w:rFonts w:ascii="Times New Roman" w:hAnsi="Times New Roman" w:cs="Times New Roman"/>
          <w:b/>
        </w:rPr>
        <w:lastRenderedPageBreak/>
        <w:t xml:space="preserve">References </w:t>
      </w:r>
    </w:p>
    <w:p w14:paraId="2EFC0E57" w14:textId="77777777" w:rsidR="003B494B" w:rsidRDefault="00C32FF1" w:rsidP="003B494B">
      <w:pPr>
        <w:pStyle w:val="NormalWeb"/>
        <w:spacing w:line="480" w:lineRule="auto"/>
        <w:ind w:left="567" w:hanging="567"/>
      </w:pPr>
      <w:r w:rsidRPr="00B93A67">
        <w:t xml:space="preserve">Education Quality and Accountability Office. (2021, February 8). </w:t>
      </w:r>
      <w:r w:rsidRPr="00B93A67">
        <w:rPr>
          <w:i/>
          <w:iCs/>
        </w:rPr>
        <w:t>About EQAO</w:t>
      </w:r>
      <w:r w:rsidRPr="00B93A67">
        <w:t xml:space="preserve">. https://www.eqao.com/about-eqao/. </w:t>
      </w:r>
    </w:p>
    <w:p w14:paraId="0549009A" w14:textId="16BEFACC" w:rsidR="003B494B" w:rsidRPr="003B494B" w:rsidRDefault="003B494B" w:rsidP="003B494B">
      <w:pPr>
        <w:pStyle w:val="NormalWeb"/>
        <w:spacing w:line="480" w:lineRule="auto"/>
        <w:ind w:left="567" w:hanging="567"/>
      </w:pPr>
      <w:r w:rsidRPr="003B494B">
        <w:rPr>
          <w:rFonts w:eastAsia="Times New Roman"/>
          <w:shd w:val="clear" w:color="auto" w:fill="FFFFFF"/>
        </w:rPr>
        <w:t xml:space="preserve">Fazio, X., &amp; </w:t>
      </w:r>
      <w:proofErr w:type="spellStart"/>
      <w:r w:rsidRPr="003B494B">
        <w:rPr>
          <w:rFonts w:eastAsia="Times New Roman"/>
          <w:shd w:val="clear" w:color="auto" w:fill="FFFFFF"/>
        </w:rPr>
        <w:t>Karrow</w:t>
      </w:r>
      <w:proofErr w:type="spellEnd"/>
      <w:r w:rsidRPr="003B494B">
        <w:rPr>
          <w:rFonts w:eastAsia="Times New Roman"/>
          <w:shd w:val="clear" w:color="auto" w:fill="FFFFFF"/>
        </w:rPr>
        <w:t>, D. (2013). Science takes a back seat: an unintended consequence of prioritizing literacy and numeracy achievement. </w:t>
      </w:r>
      <w:r w:rsidRPr="003B494B">
        <w:rPr>
          <w:rFonts w:eastAsia="Times New Roman"/>
          <w:i/>
          <w:iCs/>
          <w:shd w:val="clear" w:color="auto" w:fill="FFFFFF"/>
        </w:rPr>
        <w:t>Canada Education</w:t>
      </w:r>
      <w:r w:rsidRPr="003B494B">
        <w:rPr>
          <w:rFonts w:eastAsia="Times New Roman"/>
          <w:shd w:val="clear" w:color="auto" w:fill="FFFFFF"/>
        </w:rPr>
        <w:t>, </w:t>
      </w:r>
      <w:r w:rsidRPr="003B494B">
        <w:rPr>
          <w:rFonts w:eastAsia="Times New Roman"/>
          <w:i/>
          <w:iCs/>
          <w:shd w:val="clear" w:color="auto" w:fill="FFFFFF"/>
        </w:rPr>
        <w:t>53</w:t>
      </w:r>
      <w:r w:rsidRPr="003B494B">
        <w:rPr>
          <w:rFonts w:eastAsia="Times New Roman"/>
          <w:shd w:val="clear" w:color="auto" w:fill="FFFFFF"/>
        </w:rPr>
        <w:t>(3).</w:t>
      </w:r>
    </w:p>
    <w:p w14:paraId="6E429B6D" w14:textId="31627E26" w:rsidR="00344B34" w:rsidRPr="00B93A67" w:rsidRDefault="00344B34" w:rsidP="003B494B">
      <w:pPr>
        <w:spacing w:line="480" w:lineRule="auto"/>
        <w:ind w:left="720" w:hanging="720"/>
        <w:rPr>
          <w:rFonts w:ascii="Times New Roman" w:hAnsi="Times New Roman" w:cs="Times New Roman"/>
        </w:rPr>
      </w:pPr>
      <w:proofErr w:type="spellStart"/>
      <w:r w:rsidRPr="00B93A67">
        <w:rPr>
          <w:rFonts w:ascii="Times New Roman" w:hAnsi="Times New Roman" w:cs="Times New Roman"/>
        </w:rPr>
        <w:t>Grinell</w:t>
      </w:r>
      <w:proofErr w:type="spellEnd"/>
      <w:r w:rsidRPr="00B93A67">
        <w:rPr>
          <w:rFonts w:ascii="Times New Roman" w:hAnsi="Times New Roman" w:cs="Times New Roman"/>
        </w:rPr>
        <w:t xml:space="preserve">, </w:t>
      </w:r>
      <w:r w:rsidR="003B494B">
        <w:rPr>
          <w:rFonts w:ascii="Times New Roman" w:hAnsi="Times New Roman" w:cs="Times New Roman"/>
        </w:rPr>
        <w:t>S., &amp; Rabin, C. (2017). Caring enough to teach Science: Helping pre-service teachers view science instruction as an ethical r</w:t>
      </w:r>
      <w:r w:rsidRPr="00B93A67">
        <w:rPr>
          <w:rFonts w:ascii="Times New Roman" w:hAnsi="Times New Roman" w:cs="Times New Roman"/>
        </w:rPr>
        <w:t>esponsibility. </w:t>
      </w:r>
      <w:r w:rsidRPr="00B93A67">
        <w:rPr>
          <w:rFonts w:ascii="Times New Roman" w:hAnsi="Times New Roman" w:cs="Times New Roman"/>
          <w:i/>
          <w:iCs/>
        </w:rPr>
        <w:t>Science &amp; Education</w:t>
      </w:r>
      <w:r w:rsidRPr="00B93A67">
        <w:rPr>
          <w:rFonts w:ascii="Times New Roman" w:hAnsi="Times New Roman" w:cs="Times New Roman"/>
        </w:rPr>
        <w:t>, </w:t>
      </w:r>
      <w:r w:rsidRPr="00B93A67">
        <w:rPr>
          <w:rFonts w:ascii="Times New Roman" w:hAnsi="Times New Roman" w:cs="Times New Roman"/>
          <w:i/>
          <w:iCs/>
        </w:rPr>
        <w:t>26</w:t>
      </w:r>
      <w:r w:rsidRPr="00B93A67">
        <w:rPr>
          <w:rFonts w:ascii="Times New Roman" w:hAnsi="Times New Roman" w:cs="Times New Roman"/>
        </w:rPr>
        <w:t xml:space="preserve">(7), 813–839. </w:t>
      </w:r>
    </w:p>
    <w:p w14:paraId="43E12B76" w14:textId="760D9EA5" w:rsidR="001566B8" w:rsidRPr="00B93A67" w:rsidRDefault="001566B8" w:rsidP="00B93A67">
      <w:pPr>
        <w:pStyle w:val="NormalWeb"/>
        <w:spacing w:line="480" w:lineRule="auto"/>
        <w:ind w:left="567" w:hanging="567"/>
      </w:pPr>
      <w:r w:rsidRPr="00B93A67">
        <w:t xml:space="preserve">Ontario Ministry of Education. (2009). </w:t>
      </w:r>
      <w:r w:rsidRPr="00B93A67">
        <w:rPr>
          <w:i/>
          <w:iCs/>
        </w:rPr>
        <w:t>Capacity Building Series #1</w:t>
      </w:r>
      <w:r w:rsidRPr="00B93A67">
        <w:t xml:space="preserve">. http://www.edugains.ca/resourcesLIT/ProfessionalLearning/LiteracyinClassroomInstruction/LearningBlocks.pdf. </w:t>
      </w:r>
    </w:p>
    <w:p w14:paraId="4129B8F9" w14:textId="295C9A2A" w:rsidR="00B93A67" w:rsidRPr="00B93A67" w:rsidRDefault="00B93A67" w:rsidP="00B93A67">
      <w:pPr>
        <w:pStyle w:val="NormalWeb"/>
        <w:spacing w:line="480" w:lineRule="auto"/>
        <w:ind w:left="567" w:hanging="567"/>
      </w:pPr>
      <w:r w:rsidRPr="00B93A67">
        <w:t xml:space="preserve">Ontario Ministry of Education. (2016, September 19). </w:t>
      </w:r>
      <w:r w:rsidRPr="00B93A67">
        <w:rPr>
          <w:i/>
          <w:iCs/>
        </w:rPr>
        <w:t>Policy/Program Memorandum No. 160</w:t>
      </w:r>
      <w:r w:rsidRPr="00B93A67">
        <w:t xml:space="preserve">. http://www.edu.gov.on.ca/extra/eng/ppm/ppm160.pdf. </w:t>
      </w:r>
    </w:p>
    <w:p w14:paraId="7FD748D9" w14:textId="0112A8C5" w:rsidR="001566B8" w:rsidRPr="00B93A67" w:rsidRDefault="00DA43CD" w:rsidP="00B93A67">
      <w:pPr>
        <w:pStyle w:val="NormalWeb"/>
        <w:spacing w:line="480" w:lineRule="auto"/>
        <w:ind w:left="567" w:hanging="567"/>
      </w:pPr>
      <w:r w:rsidRPr="00B93A67">
        <w:t xml:space="preserve">Quinn, S. (2016, February 25). Students suffer due to lack of classroom supplies and support say teachers. </w:t>
      </w:r>
      <w:r w:rsidRPr="00B93A67">
        <w:rPr>
          <w:i/>
          <w:iCs/>
        </w:rPr>
        <w:t>CBC News</w:t>
      </w:r>
      <w:r w:rsidRPr="00B93A67">
        <w:t xml:space="preserve">. https://www.cbc.ca/news/canada/british-columbia/students-suffer-due-to-lack-of-classroom-supplies-and-support-say-teachers-1.3464394. </w:t>
      </w:r>
    </w:p>
    <w:p w14:paraId="0C51913F" w14:textId="77777777" w:rsidR="00344B34" w:rsidRPr="00B93A67" w:rsidRDefault="00344B34" w:rsidP="00B93A67">
      <w:pPr>
        <w:spacing w:line="480" w:lineRule="auto"/>
        <w:ind w:left="720" w:hanging="720"/>
        <w:rPr>
          <w:rFonts w:ascii="Times New Roman" w:hAnsi="Times New Roman" w:cs="Times New Roman"/>
        </w:rPr>
      </w:pPr>
      <w:r w:rsidRPr="00B93A67">
        <w:rPr>
          <w:rFonts w:ascii="Times New Roman" w:hAnsi="Times New Roman" w:cs="Times New Roman"/>
        </w:rPr>
        <w:t>Upadhyay, B. (2009). Negotiating identity and science teaching in a high-stakes testing environment: an elementary teacher’s perceptions. </w:t>
      </w:r>
      <w:r w:rsidRPr="00B93A67">
        <w:rPr>
          <w:rFonts w:ascii="Times New Roman" w:hAnsi="Times New Roman" w:cs="Times New Roman"/>
          <w:i/>
          <w:iCs/>
        </w:rPr>
        <w:t>Cultural Studies of Science Education</w:t>
      </w:r>
      <w:r w:rsidRPr="00B93A67">
        <w:rPr>
          <w:rFonts w:ascii="Times New Roman" w:hAnsi="Times New Roman" w:cs="Times New Roman"/>
        </w:rPr>
        <w:t>, </w:t>
      </w:r>
      <w:r w:rsidRPr="00B93A67">
        <w:rPr>
          <w:rFonts w:ascii="Times New Roman" w:hAnsi="Times New Roman" w:cs="Times New Roman"/>
          <w:i/>
          <w:iCs/>
        </w:rPr>
        <w:t>4</w:t>
      </w:r>
      <w:r w:rsidRPr="00B93A67">
        <w:rPr>
          <w:rFonts w:ascii="Times New Roman" w:hAnsi="Times New Roman" w:cs="Times New Roman"/>
        </w:rPr>
        <w:t>(3), 569–586.</w:t>
      </w:r>
    </w:p>
    <w:p w14:paraId="303DE00D" w14:textId="77777777" w:rsidR="00344B34" w:rsidRPr="00B93A67" w:rsidRDefault="00344B34" w:rsidP="00B93A67">
      <w:pPr>
        <w:spacing w:line="480" w:lineRule="auto"/>
        <w:ind w:left="720" w:hanging="720"/>
        <w:rPr>
          <w:rFonts w:ascii="Times New Roman" w:hAnsi="Times New Roman" w:cs="Times New Roman"/>
        </w:rPr>
      </w:pPr>
      <w:r w:rsidRPr="00B93A67">
        <w:rPr>
          <w:rFonts w:ascii="Times New Roman" w:hAnsi="Times New Roman" w:cs="Times New Roman"/>
        </w:rPr>
        <w:lastRenderedPageBreak/>
        <w:t xml:space="preserve">Winters, M., </w:t>
      </w:r>
      <w:proofErr w:type="spellStart"/>
      <w:r w:rsidRPr="00B93A67">
        <w:rPr>
          <w:rFonts w:ascii="Times New Roman" w:hAnsi="Times New Roman" w:cs="Times New Roman"/>
        </w:rPr>
        <w:t>Trivitt</w:t>
      </w:r>
      <w:proofErr w:type="spellEnd"/>
      <w:r w:rsidRPr="00B93A67">
        <w:rPr>
          <w:rFonts w:ascii="Times New Roman" w:hAnsi="Times New Roman" w:cs="Times New Roman"/>
        </w:rPr>
        <w:t>, J., &amp; Greene, J. (2010). The impact of high-stakes testing on student proficiency in low-stakes subjects: Evidence from Florida’s elementary science exam. </w:t>
      </w:r>
      <w:r w:rsidRPr="00B93A67">
        <w:rPr>
          <w:rFonts w:ascii="Times New Roman" w:hAnsi="Times New Roman" w:cs="Times New Roman"/>
          <w:i/>
          <w:iCs/>
        </w:rPr>
        <w:t>Economics of Education Review</w:t>
      </w:r>
      <w:r w:rsidRPr="00B93A67">
        <w:rPr>
          <w:rFonts w:ascii="Times New Roman" w:hAnsi="Times New Roman" w:cs="Times New Roman"/>
        </w:rPr>
        <w:t>, </w:t>
      </w:r>
      <w:r w:rsidRPr="00B93A67">
        <w:rPr>
          <w:rFonts w:ascii="Times New Roman" w:hAnsi="Times New Roman" w:cs="Times New Roman"/>
          <w:i/>
          <w:iCs/>
        </w:rPr>
        <w:t>29</w:t>
      </w:r>
      <w:r w:rsidRPr="00B93A67">
        <w:rPr>
          <w:rFonts w:ascii="Times New Roman" w:hAnsi="Times New Roman" w:cs="Times New Roman"/>
        </w:rPr>
        <w:t>(1), 138–146.</w:t>
      </w:r>
    </w:p>
    <w:sectPr w:rsidR="00344B34" w:rsidRPr="00B93A67" w:rsidSect="00057571">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AC53" w14:textId="77777777" w:rsidR="00D6124B" w:rsidRDefault="00D6124B" w:rsidP="00057571">
      <w:r>
        <w:separator/>
      </w:r>
    </w:p>
  </w:endnote>
  <w:endnote w:type="continuationSeparator" w:id="0">
    <w:p w14:paraId="7931EC48" w14:textId="77777777" w:rsidR="00D6124B" w:rsidRDefault="00D6124B" w:rsidP="0005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CF26" w14:textId="77777777" w:rsidR="00D6124B" w:rsidRDefault="00D6124B" w:rsidP="00057571">
      <w:r>
        <w:separator/>
      </w:r>
    </w:p>
  </w:footnote>
  <w:footnote w:type="continuationSeparator" w:id="0">
    <w:p w14:paraId="242B0280" w14:textId="77777777" w:rsidR="00D6124B" w:rsidRDefault="00D6124B" w:rsidP="0005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041C" w14:textId="77777777" w:rsidR="00057571" w:rsidRDefault="00057571" w:rsidP="00C64B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6BADD" w14:textId="77777777" w:rsidR="00057571" w:rsidRDefault="00057571" w:rsidP="000575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45E" w14:textId="6DDC0EBB" w:rsidR="00057571" w:rsidRPr="00057571" w:rsidRDefault="00057571" w:rsidP="00057571">
    <w:pPr>
      <w:pStyle w:val="Header"/>
      <w:ind w:right="360"/>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A14B9"/>
    <w:multiLevelType w:val="multilevel"/>
    <w:tmpl w:val="60AC3896"/>
    <w:lvl w:ilvl="0">
      <w:start w:val="1"/>
      <w:numFmt w:val="lowerLetter"/>
      <w:lvlText w:val="%1)"/>
      <w:lvlJc w:val="left"/>
      <w:pPr>
        <w:ind w:left="180" w:hanging="360"/>
      </w:pPr>
    </w:lvl>
    <w:lvl w:ilvl="1">
      <w:start w:val="1"/>
      <w:numFmt w:val="lowerRoman"/>
      <w:lvlText w:val="%2."/>
      <w:lvlJc w:val="right"/>
      <w:pPr>
        <w:ind w:left="1260" w:hanging="360"/>
      </w:pPr>
    </w:lvl>
    <w:lvl w:ilvl="2">
      <w:start w:val="2"/>
      <w:numFmt w:val="lowerRoman"/>
      <w:lvlText w:val="%3)"/>
      <w:lvlJc w:val="left"/>
      <w:pPr>
        <w:ind w:left="2520" w:hanging="72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16cid:durableId="72826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34"/>
    <w:rsid w:val="00057571"/>
    <w:rsid w:val="000A3478"/>
    <w:rsid w:val="000E0379"/>
    <w:rsid w:val="000E2741"/>
    <w:rsid w:val="0010594E"/>
    <w:rsid w:val="00110A44"/>
    <w:rsid w:val="00112DB8"/>
    <w:rsid w:val="001149F2"/>
    <w:rsid w:val="001317EC"/>
    <w:rsid w:val="00133310"/>
    <w:rsid w:val="001566B8"/>
    <w:rsid w:val="001677FF"/>
    <w:rsid w:val="00172119"/>
    <w:rsid w:val="001864AB"/>
    <w:rsid w:val="00196CC9"/>
    <w:rsid w:val="0020406C"/>
    <w:rsid w:val="00211393"/>
    <w:rsid w:val="00231666"/>
    <w:rsid w:val="00245D55"/>
    <w:rsid w:val="002A0CA7"/>
    <w:rsid w:val="002E5A82"/>
    <w:rsid w:val="002E761B"/>
    <w:rsid w:val="00303812"/>
    <w:rsid w:val="00303851"/>
    <w:rsid w:val="00344B34"/>
    <w:rsid w:val="00350181"/>
    <w:rsid w:val="00372D84"/>
    <w:rsid w:val="003B494B"/>
    <w:rsid w:val="003E78D2"/>
    <w:rsid w:val="00403519"/>
    <w:rsid w:val="0043116B"/>
    <w:rsid w:val="00433B6C"/>
    <w:rsid w:val="00451B4D"/>
    <w:rsid w:val="004D33E7"/>
    <w:rsid w:val="004F4978"/>
    <w:rsid w:val="004F5AC4"/>
    <w:rsid w:val="0058074E"/>
    <w:rsid w:val="00593B53"/>
    <w:rsid w:val="0059787A"/>
    <w:rsid w:val="005B229B"/>
    <w:rsid w:val="005D0878"/>
    <w:rsid w:val="00607490"/>
    <w:rsid w:val="006132C3"/>
    <w:rsid w:val="00617EDA"/>
    <w:rsid w:val="00640B80"/>
    <w:rsid w:val="00652C93"/>
    <w:rsid w:val="00672FE5"/>
    <w:rsid w:val="00686253"/>
    <w:rsid w:val="006C6215"/>
    <w:rsid w:val="0072318F"/>
    <w:rsid w:val="0073380B"/>
    <w:rsid w:val="00787E18"/>
    <w:rsid w:val="007A690F"/>
    <w:rsid w:val="007A7CA8"/>
    <w:rsid w:val="007D7D63"/>
    <w:rsid w:val="00827DF1"/>
    <w:rsid w:val="008442EF"/>
    <w:rsid w:val="00845F9C"/>
    <w:rsid w:val="00897FEF"/>
    <w:rsid w:val="008D370D"/>
    <w:rsid w:val="008E2AC3"/>
    <w:rsid w:val="009273D7"/>
    <w:rsid w:val="00953FCE"/>
    <w:rsid w:val="00991E91"/>
    <w:rsid w:val="009956CD"/>
    <w:rsid w:val="00A121D5"/>
    <w:rsid w:val="00A37CFA"/>
    <w:rsid w:val="00A61C06"/>
    <w:rsid w:val="00A80374"/>
    <w:rsid w:val="00AC55AD"/>
    <w:rsid w:val="00B01108"/>
    <w:rsid w:val="00B0451A"/>
    <w:rsid w:val="00B05F73"/>
    <w:rsid w:val="00B3364C"/>
    <w:rsid w:val="00B50593"/>
    <w:rsid w:val="00B70CE8"/>
    <w:rsid w:val="00B93A67"/>
    <w:rsid w:val="00BF7F8A"/>
    <w:rsid w:val="00C10694"/>
    <w:rsid w:val="00C10E18"/>
    <w:rsid w:val="00C32FF1"/>
    <w:rsid w:val="00C60204"/>
    <w:rsid w:val="00C9144B"/>
    <w:rsid w:val="00CF5A76"/>
    <w:rsid w:val="00D01987"/>
    <w:rsid w:val="00D0349F"/>
    <w:rsid w:val="00D12CF4"/>
    <w:rsid w:val="00D54795"/>
    <w:rsid w:val="00D6124B"/>
    <w:rsid w:val="00DA43CD"/>
    <w:rsid w:val="00DC06D6"/>
    <w:rsid w:val="00DE6BEB"/>
    <w:rsid w:val="00DF24DD"/>
    <w:rsid w:val="00DF65CD"/>
    <w:rsid w:val="00E27217"/>
    <w:rsid w:val="00E33715"/>
    <w:rsid w:val="00E55E10"/>
    <w:rsid w:val="00E87D7D"/>
    <w:rsid w:val="00EA74CF"/>
    <w:rsid w:val="00ED4A58"/>
    <w:rsid w:val="00F31D68"/>
    <w:rsid w:val="00F35EBB"/>
    <w:rsid w:val="00F477F5"/>
    <w:rsid w:val="00F56208"/>
    <w:rsid w:val="00FD009E"/>
    <w:rsid w:val="00F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F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3478"/>
    <w:rPr>
      <w:i/>
      <w:iCs/>
    </w:rPr>
  </w:style>
  <w:style w:type="paragraph" w:styleId="Header">
    <w:name w:val="header"/>
    <w:basedOn w:val="Normal"/>
    <w:link w:val="HeaderChar"/>
    <w:uiPriority w:val="99"/>
    <w:unhideWhenUsed/>
    <w:rsid w:val="00057571"/>
    <w:pPr>
      <w:tabs>
        <w:tab w:val="center" w:pos="4680"/>
        <w:tab w:val="right" w:pos="9360"/>
      </w:tabs>
    </w:pPr>
  </w:style>
  <w:style w:type="character" w:customStyle="1" w:styleId="HeaderChar">
    <w:name w:val="Header Char"/>
    <w:basedOn w:val="DefaultParagraphFont"/>
    <w:link w:val="Header"/>
    <w:uiPriority w:val="99"/>
    <w:rsid w:val="00057571"/>
  </w:style>
  <w:style w:type="paragraph" w:styleId="Footer">
    <w:name w:val="footer"/>
    <w:basedOn w:val="Normal"/>
    <w:link w:val="FooterChar"/>
    <w:uiPriority w:val="99"/>
    <w:unhideWhenUsed/>
    <w:rsid w:val="00057571"/>
    <w:pPr>
      <w:tabs>
        <w:tab w:val="center" w:pos="4680"/>
        <w:tab w:val="right" w:pos="9360"/>
      </w:tabs>
    </w:pPr>
  </w:style>
  <w:style w:type="character" w:customStyle="1" w:styleId="FooterChar">
    <w:name w:val="Footer Char"/>
    <w:basedOn w:val="DefaultParagraphFont"/>
    <w:link w:val="Footer"/>
    <w:uiPriority w:val="99"/>
    <w:rsid w:val="00057571"/>
  </w:style>
  <w:style w:type="character" w:styleId="PageNumber">
    <w:name w:val="page number"/>
    <w:basedOn w:val="DefaultParagraphFont"/>
    <w:uiPriority w:val="99"/>
    <w:semiHidden/>
    <w:unhideWhenUsed/>
    <w:rsid w:val="00057571"/>
  </w:style>
  <w:style w:type="paragraph" w:styleId="NormalWeb">
    <w:name w:val="Normal (Web)"/>
    <w:basedOn w:val="Normal"/>
    <w:uiPriority w:val="99"/>
    <w:unhideWhenUsed/>
    <w:rsid w:val="00C32FF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E5A82"/>
    <w:rPr>
      <w:color w:val="0563C1" w:themeColor="hyperlink"/>
      <w:u w:val="single"/>
    </w:rPr>
  </w:style>
  <w:style w:type="character" w:customStyle="1" w:styleId="mark3ung9e2kq">
    <w:name w:val="mark3ung9e2kq"/>
    <w:basedOn w:val="DefaultParagraphFont"/>
    <w:rsid w:val="002E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954">
      <w:bodyDiv w:val="1"/>
      <w:marLeft w:val="0"/>
      <w:marRight w:val="0"/>
      <w:marTop w:val="0"/>
      <w:marBottom w:val="0"/>
      <w:divBdr>
        <w:top w:val="none" w:sz="0" w:space="0" w:color="auto"/>
        <w:left w:val="none" w:sz="0" w:space="0" w:color="auto"/>
        <w:bottom w:val="none" w:sz="0" w:space="0" w:color="auto"/>
        <w:right w:val="none" w:sz="0" w:space="0" w:color="auto"/>
      </w:divBdr>
    </w:div>
    <w:div w:id="127553022">
      <w:bodyDiv w:val="1"/>
      <w:marLeft w:val="0"/>
      <w:marRight w:val="0"/>
      <w:marTop w:val="0"/>
      <w:marBottom w:val="0"/>
      <w:divBdr>
        <w:top w:val="none" w:sz="0" w:space="0" w:color="auto"/>
        <w:left w:val="none" w:sz="0" w:space="0" w:color="auto"/>
        <w:bottom w:val="none" w:sz="0" w:space="0" w:color="auto"/>
        <w:right w:val="none" w:sz="0" w:space="0" w:color="auto"/>
      </w:divBdr>
    </w:div>
    <w:div w:id="273829481">
      <w:bodyDiv w:val="1"/>
      <w:marLeft w:val="0"/>
      <w:marRight w:val="0"/>
      <w:marTop w:val="0"/>
      <w:marBottom w:val="0"/>
      <w:divBdr>
        <w:top w:val="none" w:sz="0" w:space="0" w:color="auto"/>
        <w:left w:val="none" w:sz="0" w:space="0" w:color="auto"/>
        <w:bottom w:val="none" w:sz="0" w:space="0" w:color="auto"/>
        <w:right w:val="none" w:sz="0" w:space="0" w:color="auto"/>
      </w:divBdr>
    </w:div>
    <w:div w:id="328750354">
      <w:bodyDiv w:val="1"/>
      <w:marLeft w:val="0"/>
      <w:marRight w:val="0"/>
      <w:marTop w:val="0"/>
      <w:marBottom w:val="0"/>
      <w:divBdr>
        <w:top w:val="none" w:sz="0" w:space="0" w:color="auto"/>
        <w:left w:val="none" w:sz="0" w:space="0" w:color="auto"/>
        <w:bottom w:val="none" w:sz="0" w:space="0" w:color="auto"/>
        <w:right w:val="none" w:sz="0" w:space="0" w:color="auto"/>
      </w:divBdr>
    </w:div>
    <w:div w:id="983201794">
      <w:bodyDiv w:val="1"/>
      <w:marLeft w:val="0"/>
      <w:marRight w:val="0"/>
      <w:marTop w:val="0"/>
      <w:marBottom w:val="0"/>
      <w:divBdr>
        <w:top w:val="none" w:sz="0" w:space="0" w:color="auto"/>
        <w:left w:val="none" w:sz="0" w:space="0" w:color="auto"/>
        <w:bottom w:val="none" w:sz="0" w:space="0" w:color="auto"/>
        <w:right w:val="none" w:sz="0" w:space="0" w:color="auto"/>
      </w:divBdr>
    </w:div>
    <w:div w:id="1026297430">
      <w:bodyDiv w:val="1"/>
      <w:marLeft w:val="0"/>
      <w:marRight w:val="0"/>
      <w:marTop w:val="0"/>
      <w:marBottom w:val="0"/>
      <w:divBdr>
        <w:top w:val="none" w:sz="0" w:space="0" w:color="auto"/>
        <w:left w:val="none" w:sz="0" w:space="0" w:color="auto"/>
        <w:bottom w:val="none" w:sz="0" w:space="0" w:color="auto"/>
        <w:right w:val="none" w:sz="0" w:space="0" w:color="auto"/>
      </w:divBdr>
    </w:div>
    <w:div w:id="1067264881">
      <w:bodyDiv w:val="1"/>
      <w:marLeft w:val="0"/>
      <w:marRight w:val="0"/>
      <w:marTop w:val="0"/>
      <w:marBottom w:val="0"/>
      <w:divBdr>
        <w:top w:val="none" w:sz="0" w:space="0" w:color="auto"/>
        <w:left w:val="none" w:sz="0" w:space="0" w:color="auto"/>
        <w:bottom w:val="none" w:sz="0" w:space="0" w:color="auto"/>
        <w:right w:val="none" w:sz="0" w:space="0" w:color="auto"/>
      </w:divBdr>
    </w:div>
    <w:div w:id="1109007624">
      <w:bodyDiv w:val="1"/>
      <w:marLeft w:val="0"/>
      <w:marRight w:val="0"/>
      <w:marTop w:val="0"/>
      <w:marBottom w:val="0"/>
      <w:divBdr>
        <w:top w:val="none" w:sz="0" w:space="0" w:color="auto"/>
        <w:left w:val="none" w:sz="0" w:space="0" w:color="auto"/>
        <w:bottom w:val="none" w:sz="0" w:space="0" w:color="auto"/>
        <w:right w:val="none" w:sz="0" w:space="0" w:color="auto"/>
      </w:divBdr>
    </w:div>
    <w:div w:id="1132942744">
      <w:bodyDiv w:val="1"/>
      <w:marLeft w:val="0"/>
      <w:marRight w:val="0"/>
      <w:marTop w:val="0"/>
      <w:marBottom w:val="0"/>
      <w:divBdr>
        <w:top w:val="none" w:sz="0" w:space="0" w:color="auto"/>
        <w:left w:val="none" w:sz="0" w:space="0" w:color="auto"/>
        <w:bottom w:val="none" w:sz="0" w:space="0" w:color="auto"/>
        <w:right w:val="none" w:sz="0" w:space="0" w:color="auto"/>
      </w:divBdr>
    </w:div>
    <w:div w:id="1628731777">
      <w:bodyDiv w:val="1"/>
      <w:marLeft w:val="0"/>
      <w:marRight w:val="0"/>
      <w:marTop w:val="0"/>
      <w:marBottom w:val="0"/>
      <w:divBdr>
        <w:top w:val="none" w:sz="0" w:space="0" w:color="auto"/>
        <w:left w:val="none" w:sz="0" w:space="0" w:color="auto"/>
        <w:bottom w:val="none" w:sz="0" w:space="0" w:color="auto"/>
        <w:right w:val="none" w:sz="0" w:space="0" w:color="auto"/>
      </w:divBdr>
    </w:div>
    <w:div w:id="1906404469">
      <w:bodyDiv w:val="1"/>
      <w:marLeft w:val="0"/>
      <w:marRight w:val="0"/>
      <w:marTop w:val="0"/>
      <w:marBottom w:val="0"/>
      <w:divBdr>
        <w:top w:val="none" w:sz="0" w:space="0" w:color="auto"/>
        <w:left w:val="none" w:sz="0" w:space="0" w:color="auto"/>
        <w:bottom w:val="none" w:sz="0" w:space="0" w:color="auto"/>
        <w:right w:val="none" w:sz="0" w:space="0" w:color="auto"/>
      </w:divBdr>
    </w:div>
    <w:div w:id="208471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Terry Kingsmill</cp:lastModifiedBy>
  <cp:revision>2</cp:revision>
  <dcterms:created xsi:type="dcterms:W3CDTF">2022-11-22T20:01:00Z</dcterms:created>
  <dcterms:modified xsi:type="dcterms:W3CDTF">2022-11-22T20:01:00Z</dcterms:modified>
</cp:coreProperties>
</file>